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66" w:rsidRPr="00771D26" w:rsidRDefault="00FE6D66" w:rsidP="00FE6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 w:rsidRPr="00771D26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:rsidR="00FE6D66" w:rsidRPr="00771D26" w:rsidRDefault="00FE6D66" w:rsidP="00FE6D66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 xml:space="preserve"> 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:rsidR="00FE6D66" w:rsidRPr="00771D26" w:rsidRDefault="00FE6D66" w:rsidP="00FE6D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FE6D66" w:rsidRPr="00771D26" w:rsidRDefault="00FE6D66" w:rsidP="00FE6D66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</w:pPr>
      <w:r w:rsidRPr="00771D26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 xml:space="preserve">KHUNG MA TRẬN ĐỀ KIỂM TRA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HỌC KÌ I – NĂM HỌ</w:t>
      </w:r>
      <w:r w:rsidR="00C91016">
        <w:rPr>
          <w:rFonts w:ascii="Times New Roman" w:hAnsi="Times New Roman" w:cs="Times New Roman"/>
          <w:b/>
          <w:sz w:val="26"/>
          <w:szCs w:val="26"/>
          <w:lang w:val="it-IT"/>
        </w:rPr>
        <w:t>C 2022</w:t>
      </w:r>
      <w:r w:rsidR="00E56DD4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-</w:t>
      </w:r>
      <w:r w:rsidR="00E56DD4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771D26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="00C91016">
        <w:rPr>
          <w:rFonts w:ascii="Times New Roman" w:hAnsi="Times New Roman" w:cs="Times New Roman"/>
          <w:b/>
          <w:sz w:val="26"/>
          <w:szCs w:val="26"/>
          <w:lang w:val="it-IT"/>
        </w:rPr>
        <w:t>023</w:t>
      </w:r>
    </w:p>
    <w:p w:rsidR="00FE6D66" w:rsidRDefault="00331AE4" w:rsidP="00FE6D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MÔN GIÁO DỤC CÔNG DÂN</w:t>
      </w:r>
      <w:r w:rsidR="00FE6D66"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 – KHỐ</w:t>
      </w:r>
      <w:r w:rsidR="00FE6D66">
        <w:rPr>
          <w:rFonts w:ascii="Times New Roman" w:hAnsi="Times New Roman" w:cs="Times New Roman"/>
          <w:b/>
          <w:sz w:val="26"/>
          <w:szCs w:val="26"/>
          <w:lang w:val="it-IT"/>
        </w:rPr>
        <w:t>I 12 (KHXH)</w:t>
      </w:r>
    </w:p>
    <w:p w:rsidR="00FE6D66" w:rsidRPr="00771D26" w:rsidRDefault="00FE6D66" w:rsidP="00FE6D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</w:p>
    <w:tbl>
      <w:tblPr>
        <w:tblW w:w="1512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547"/>
        <w:gridCol w:w="540"/>
        <w:gridCol w:w="540"/>
        <w:gridCol w:w="630"/>
        <w:gridCol w:w="540"/>
        <w:gridCol w:w="540"/>
        <w:gridCol w:w="540"/>
        <w:gridCol w:w="630"/>
        <w:gridCol w:w="540"/>
        <w:gridCol w:w="540"/>
        <w:gridCol w:w="540"/>
        <w:gridCol w:w="630"/>
        <w:gridCol w:w="540"/>
        <w:gridCol w:w="540"/>
        <w:gridCol w:w="540"/>
        <w:gridCol w:w="892"/>
        <w:gridCol w:w="548"/>
        <w:gridCol w:w="773"/>
        <w:gridCol w:w="850"/>
      </w:tblGrid>
      <w:tr w:rsidR="00BD7F08" w:rsidRPr="00BD7F08" w:rsidTr="007077FC">
        <w:trPr>
          <w:trHeight w:val="84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1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F1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1F" w:rsidRDefault="0025421F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KIẾN THỨC</w:t>
            </w:r>
          </w:p>
        </w:tc>
        <w:tc>
          <w:tcPr>
            <w:tcW w:w="894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thời gian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BD7F08" w:rsidRPr="00BD7F08" w:rsidTr="007077FC">
        <w:trPr>
          <w:trHeight w:val="55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25421F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</w:t>
            </w:r>
            <w:r w:rsidR="00BD7F08"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F08" w:rsidRPr="00BD7F08" w:rsidTr="00C91016">
        <w:trPr>
          <w:trHeight w:val="66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</w:t>
            </w:r>
          </w:p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</w:t>
            </w:r>
          </w:p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</w:t>
            </w:r>
          </w:p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08" w:rsidRPr="00BD7F08" w:rsidRDefault="00BD7F08" w:rsidP="00F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A36" w:rsidRPr="00BD7F08" w:rsidTr="00C91016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1537AA" w:rsidRDefault="006F1A36" w:rsidP="00B65B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AA">
              <w:rPr>
                <w:rFonts w:ascii="Times New Roman" w:hAnsi="Times New Roman" w:cs="Times New Roman"/>
                <w:bCs/>
                <w:sz w:val="24"/>
                <w:szCs w:val="24"/>
              </w:rPr>
              <w:t>Pháp luật và đời sống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</w:t>
            </w:r>
            <w:r w:rsidR="00354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6F1A36" w:rsidRPr="00BD7F08" w:rsidTr="00C91016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1537AA" w:rsidRDefault="006F1A36" w:rsidP="00B65B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AA">
              <w:rPr>
                <w:rFonts w:ascii="Times New Roman" w:hAnsi="Times New Roman" w:cs="Times New Roman"/>
                <w:bCs/>
                <w:sz w:val="24"/>
                <w:szCs w:val="24"/>
              </w:rPr>
              <w:t>Thực hiện pháp luật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="00354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6F1A36" w:rsidRPr="00BD7F08" w:rsidTr="00C91016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1537AA" w:rsidRDefault="006F1A36" w:rsidP="00B65B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AA">
              <w:rPr>
                <w:rFonts w:ascii="Times New Roman" w:hAnsi="Times New Roman" w:cs="Times New Roman"/>
                <w:bCs/>
                <w:sz w:val="24"/>
                <w:szCs w:val="24"/>
              </w:rPr>
              <w:t>Công dân bình đẳng trước pháp luật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12,5</w:t>
            </w:r>
            <w:r w:rsidR="00354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6F1A36" w:rsidRPr="00BD7F08" w:rsidTr="00C91016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B65B0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FD0">
              <w:rPr>
                <w:rFonts w:ascii="Times New Roman" w:hAnsi="Times New Roman"/>
                <w:bCs/>
                <w:sz w:val="24"/>
                <w:szCs w:val="24"/>
              </w:rPr>
              <w:t>Quyền bình đẳng của công dân trong một số lĩnh vự</w:t>
            </w:r>
            <w:r w:rsidR="00B65B02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F83FD0">
              <w:rPr>
                <w:rFonts w:ascii="Times New Roman" w:hAnsi="Times New Roman"/>
                <w:bCs/>
                <w:sz w:val="24"/>
                <w:szCs w:val="24"/>
              </w:rPr>
              <w:t xml:space="preserve"> đời sống xã hộ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Default="00354005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17,5%</w:t>
            </w:r>
          </w:p>
        </w:tc>
      </w:tr>
      <w:tr w:rsidR="006F1A36" w:rsidRPr="00BD7F08" w:rsidTr="00C91016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B65B0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FD0">
              <w:rPr>
                <w:rFonts w:ascii="Times New Roman" w:hAnsi="Times New Roman"/>
                <w:bCs/>
                <w:sz w:val="24"/>
                <w:szCs w:val="24"/>
              </w:rPr>
              <w:t>Quyền bình đẳng giữa các dân tộc và tôn giáo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Default="00354005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17,5%</w:t>
            </w:r>
          </w:p>
        </w:tc>
      </w:tr>
      <w:tr w:rsidR="006F1A36" w:rsidRPr="00BD7F08" w:rsidTr="00C91016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B65B0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FD0">
              <w:rPr>
                <w:rFonts w:ascii="Times New Roman" w:hAnsi="Times New Roman"/>
                <w:bCs/>
                <w:sz w:val="24"/>
                <w:szCs w:val="24"/>
              </w:rPr>
              <w:t>Công dân với các quyền tự do cơ bản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83FD0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Default="00354005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17,5%</w:t>
            </w:r>
          </w:p>
        </w:tc>
      </w:tr>
      <w:tr w:rsidR="006F1A36" w:rsidRPr="00F13E3E" w:rsidTr="00C91016">
        <w:trPr>
          <w:trHeight w:val="679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3E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Tổng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3E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3E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3E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3E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3E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3E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3E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3E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3E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3E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3E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13E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F13E3E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13E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100%</w:t>
            </w:r>
          </w:p>
        </w:tc>
      </w:tr>
      <w:tr w:rsidR="006F1A36" w:rsidRPr="00BD7F08" w:rsidTr="00C91016">
        <w:trPr>
          <w:trHeight w:val="679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Tỉ lệ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BD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6" w:rsidRPr="00BD7F08" w:rsidRDefault="00354005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</w:t>
            </w:r>
            <w:r w:rsidRPr="00BD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BD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100%</w:t>
            </w:r>
          </w:p>
        </w:tc>
      </w:tr>
      <w:tr w:rsidR="006F1A36" w:rsidRPr="00BD7F08" w:rsidTr="00C91016">
        <w:trPr>
          <w:trHeight w:val="679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4.0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3.0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2.0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36" w:rsidRPr="00BD7F08" w:rsidRDefault="006F1A36" w:rsidP="006F1A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C53ED" w:rsidRDefault="00CC53ED" w:rsidP="003540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br w:type="page"/>
      </w:r>
    </w:p>
    <w:p w:rsidR="00354005" w:rsidRPr="00771D26" w:rsidRDefault="00354005" w:rsidP="003540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lastRenderedPageBreak/>
        <w:t>SỞ GIÁO DỤC VÀ ĐÀO TẠO TP HỒ CHÍ MINH</w:t>
      </w:r>
      <w:r w:rsidRPr="00771D26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:rsidR="00354005" w:rsidRDefault="00354005" w:rsidP="00354005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TRƯỜNG THPT NĂNG KHIẾ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U TDTT H.BC </w:t>
      </w:r>
    </w:p>
    <w:p w:rsidR="00354005" w:rsidRPr="00FE4CBE" w:rsidRDefault="00354005" w:rsidP="00354005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354005" w:rsidRPr="00771D26" w:rsidRDefault="00354005" w:rsidP="0035400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</w:pPr>
      <w:r w:rsidRPr="00771D26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>BẢNG ĐẶC TẢ MA TRẬN ĐỀ KIỂ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 xml:space="preserve">M TRA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HỌC KÌ I – NĂM HỌ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C 2021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-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771D26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022</w:t>
      </w:r>
    </w:p>
    <w:p w:rsidR="00354005" w:rsidRDefault="00CC53ED" w:rsidP="0035400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MÔN GIÁO DỤC CÔNG DÂN</w:t>
      </w:r>
      <w:r w:rsidR="00354005"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 – KHỐ</w:t>
      </w:r>
      <w:r w:rsidR="00354005">
        <w:rPr>
          <w:rFonts w:ascii="Times New Roman" w:hAnsi="Times New Roman" w:cs="Times New Roman"/>
          <w:b/>
          <w:sz w:val="26"/>
          <w:szCs w:val="26"/>
          <w:lang w:val="it-IT"/>
        </w:rPr>
        <w:t>I 12 (KHXH)</w:t>
      </w:r>
    </w:p>
    <w:tbl>
      <w:tblPr>
        <w:tblStyle w:val="TableGrid"/>
        <w:tblW w:w="1520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37"/>
        <w:gridCol w:w="7571"/>
        <w:gridCol w:w="881"/>
        <w:gridCol w:w="881"/>
        <w:gridCol w:w="881"/>
        <w:gridCol w:w="881"/>
      </w:tblGrid>
      <w:tr w:rsidR="00D140F6" w:rsidRPr="00D140F6" w:rsidTr="00D140F6">
        <w:trPr>
          <w:jc w:val="center"/>
        </w:trPr>
        <w:tc>
          <w:tcPr>
            <w:tcW w:w="709" w:type="dxa"/>
            <w:vMerge w:val="restart"/>
            <w:vAlign w:val="center"/>
          </w:tcPr>
          <w:p w:rsidR="00354005" w:rsidRPr="00D140F6" w:rsidRDefault="00354005" w:rsidP="00CC66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60" w:type="dxa"/>
            <w:vMerge w:val="restart"/>
            <w:vAlign w:val="center"/>
          </w:tcPr>
          <w:p w:rsidR="00354005" w:rsidRPr="00D140F6" w:rsidRDefault="00354005" w:rsidP="00CC66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837" w:type="dxa"/>
            <w:vMerge w:val="restart"/>
            <w:vAlign w:val="center"/>
          </w:tcPr>
          <w:p w:rsidR="00354005" w:rsidRPr="00D140F6" w:rsidRDefault="00354005" w:rsidP="00CC66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7571" w:type="dxa"/>
            <w:vMerge w:val="restart"/>
            <w:vAlign w:val="center"/>
          </w:tcPr>
          <w:p w:rsidR="00354005" w:rsidRPr="00D140F6" w:rsidRDefault="00354005" w:rsidP="00CC66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3524" w:type="dxa"/>
            <w:gridSpan w:val="4"/>
            <w:vAlign w:val="center"/>
          </w:tcPr>
          <w:p w:rsidR="00354005" w:rsidRPr="00D140F6" w:rsidRDefault="00354005" w:rsidP="00CC6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</w:tr>
      <w:tr w:rsidR="00B65B02" w:rsidRPr="00D140F6" w:rsidTr="00D140F6">
        <w:trPr>
          <w:jc w:val="center"/>
        </w:trPr>
        <w:tc>
          <w:tcPr>
            <w:tcW w:w="709" w:type="dxa"/>
            <w:vMerge/>
            <w:vAlign w:val="center"/>
          </w:tcPr>
          <w:p w:rsidR="00354005" w:rsidRPr="00D140F6" w:rsidRDefault="00354005" w:rsidP="00CC66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354005" w:rsidRPr="00D140F6" w:rsidRDefault="00354005" w:rsidP="00CC6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  <w:vMerge/>
            <w:vAlign w:val="center"/>
          </w:tcPr>
          <w:p w:rsidR="00354005" w:rsidRPr="00D140F6" w:rsidRDefault="00354005" w:rsidP="00CC6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1" w:type="dxa"/>
            <w:vMerge/>
            <w:vAlign w:val="center"/>
          </w:tcPr>
          <w:p w:rsidR="00354005" w:rsidRPr="00D140F6" w:rsidRDefault="00354005" w:rsidP="00CC6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" w:type="dxa"/>
            <w:vAlign w:val="center"/>
          </w:tcPr>
          <w:p w:rsidR="00354005" w:rsidRPr="00D140F6" w:rsidRDefault="00354005" w:rsidP="00CC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881" w:type="dxa"/>
            <w:vAlign w:val="center"/>
          </w:tcPr>
          <w:p w:rsidR="00354005" w:rsidRPr="00D140F6" w:rsidRDefault="00354005" w:rsidP="00CC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881" w:type="dxa"/>
            <w:vAlign w:val="center"/>
          </w:tcPr>
          <w:p w:rsidR="00354005" w:rsidRPr="00D140F6" w:rsidRDefault="00354005" w:rsidP="00CC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881" w:type="dxa"/>
            <w:vAlign w:val="center"/>
          </w:tcPr>
          <w:p w:rsidR="00354005" w:rsidRPr="00D140F6" w:rsidRDefault="00354005" w:rsidP="00CC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</w:tr>
      <w:tr w:rsidR="00CE492C" w:rsidRPr="00D140F6" w:rsidTr="00D140F6">
        <w:trPr>
          <w:jc w:val="center"/>
        </w:trPr>
        <w:tc>
          <w:tcPr>
            <w:tcW w:w="709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CE492C" w:rsidRPr="00D140F6" w:rsidRDefault="00CE492C" w:rsidP="00CE4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bCs/>
                <w:sz w:val="26"/>
                <w:szCs w:val="26"/>
              </w:rPr>
              <w:t>Pháp luật và đời sống</w:t>
            </w:r>
          </w:p>
        </w:tc>
        <w:tc>
          <w:tcPr>
            <w:tcW w:w="1837" w:type="dxa"/>
            <w:vAlign w:val="center"/>
          </w:tcPr>
          <w:p w:rsidR="00CE492C" w:rsidRPr="00D140F6" w:rsidRDefault="00CE492C" w:rsidP="00CE4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Khái niệm pháp luật</w:t>
            </w:r>
          </w:p>
          <w:p w:rsidR="00CE492C" w:rsidRPr="00D140F6" w:rsidRDefault="00CE492C" w:rsidP="00CE4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Đặc trưng, bản chất, vai trò của pháp luật</w:t>
            </w:r>
          </w:p>
        </w:tc>
        <w:tc>
          <w:tcPr>
            <w:tcW w:w="7571" w:type="dxa"/>
            <w:vAlign w:val="center"/>
          </w:tcPr>
          <w:p w:rsidR="00CE492C" w:rsidRPr="00D140F6" w:rsidRDefault="00CE492C" w:rsidP="00CE49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Nêu được khái niệm pháp luật</w:t>
            </w:r>
            <w:r w:rsidR="00D140F6"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CE492C" w:rsidRPr="00D140F6" w:rsidRDefault="00CE492C" w:rsidP="00CE49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Học sinh  hiểu </w:t>
            </w:r>
            <w:r w:rsidR="00D140F6"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được các đặc trung, bản chất và vai trò của pháp luật.</w:t>
            </w:r>
          </w:p>
          <w:p w:rsidR="00CE492C" w:rsidRPr="00D140F6" w:rsidRDefault="00CE492C" w:rsidP="00D140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Biết thực hiện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D140F6"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đặc trưng và vai trò của pháp luật.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E492C" w:rsidRPr="00D140F6" w:rsidTr="00D140F6">
        <w:trPr>
          <w:jc w:val="center"/>
        </w:trPr>
        <w:tc>
          <w:tcPr>
            <w:tcW w:w="709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CE492C" w:rsidRPr="00D140F6" w:rsidRDefault="00CE492C" w:rsidP="00CE4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Thực hiện pháp luật</w:t>
            </w:r>
          </w:p>
        </w:tc>
        <w:tc>
          <w:tcPr>
            <w:tcW w:w="1837" w:type="dxa"/>
            <w:vAlign w:val="center"/>
          </w:tcPr>
          <w:p w:rsidR="00CE492C" w:rsidRPr="00D140F6" w:rsidRDefault="00CE492C" w:rsidP="00CE4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Các hình thức thực hiện pháp luật.</w:t>
            </w:r>
          </w:p>
          <w:p w:rsidR="00CE492C" w:rsidRPr="00D140F6" w:rsidRDefault="00CE492C" w:rsidP="00CE4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Vi phạm pháp luật và trách nhiệm pháp lí.</w:t>
            </w:r>
          </w:p>
        </w:tc>
        <w:tc>
          <w:tcPr>
            <w:tcW w:w="7571" w:type="dxa"/>
            <w:vAlign w:val="center"/>
          </w:tcPr>
          <w:p w:rsidR="00CE492C" w:rsidRPr="00D140F6" w:rsidRDefault="00CE492C" w:rsidP="00CE49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Nêu được các hình thức thực hiện pháp luật, vi phạm pháp luật và trách nhiệm pháp lí.</w:t>
            </w:r>
          </w:p>
          <w:p w:rsidR="00CE492C" w:rsidRPr="00D140F6" w:rsidRDefault="00CE492C" w:rsidP="00CE49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Học sinh  hiểu các </w:t>
            </w:r>
            <w:r w:rsid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loại 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vi phạm pháp luật và trách nhiệm pháp lí.</w:t>
            </w:r>
          </w:p>
          <w:p w:rsidR="00CE492C" w:rsidRPr="00D140F6" w:rsidRDefault="00CE492C" w:rsidP="00CE49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Biết thực hiện pháp luật, </w:t>
            </w:r>
            <w:r w:rsid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phê phán hành vi 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vi phạm pháp luật và</w:t>
            </w:r>
            <w:r w:rsid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chịu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trách nhiệm pháp lí.</w:t>
            </w:r>
          </w:p>
          <w:p w:rsidR="00CE492C" w:rsidRPr="009B338A" w:rsidRDefault="00CE492C" w:rsidP="00D140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cao: </w:t>
            </w:r>
            <w:r w:rsid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Nhận xét được các hành vi vi phạm pháp luật và trách nhiệm pháp lí.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E492C" w:rsidRPr="00D140F6" w:rsidTr="00D140F6">
        <w:trPr>
          <w:jc w:val="center"/>
        </w:trPr>
        <w:tc>
          <w:tcPr>
            <w:tcW w:w="709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CE492C" w:rsidRPr="00D140F6" w:rsidRDefault="00CE492C" w:rsidP="00CE4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dân bình đẳng trước pháp luật</w:t>
            </w:r>
          </w:p>
        </w:tc>
        <w:tc>
          <w:tcPr>
            <w:tcW w:w="1837" w:type="dxa"/>
            <w:vAlign w:val="center"/>
          </w:tcPr>
          <w:p w:rsidR="00CE492C" w:rsidRPr="00D140F6" w:rsidRDefault="00CE492C" w:rsidP="00CE492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140F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Công dân bình đẳng về quyền và nghĩa vụ.</w:t>
            </w:r>
          </w:p>
          <w:p w:rsidR="00CE492C" w:rsidRPr="00D140F6" w:rsidRDefault="00CE492C" w:rsidP="00CE492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140F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Công dân bình đẳng về trách nhiệm pháp lí.</w:t>
            </w:r>
          </w:p>
        </w:tc>
        <w:tc>
          <w:tcPr>
            <w:tcW w:w="7571" w:type="dxa"/>
            <w:vAlign w:val="center"/>
          </w:tcPr>
          <w:p w:rsidR="00CE492C" w:rsidRPr="00D140F6" w:rsidRDefault="00CE492C" w:rsidP="00CE49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Học sinh nhận biết được khái niệm bình đẳng về quyền và nghĩa vụ, trách nhiệm pháp lí.</w:t>
            </w:r>
          </w:p>
          <w:p w:rsidR="00CE492C" w:rsidRPr="00D140F6" w:rsidRDefault="00CE492C" w:rsidP="00CE49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Học sinh  hiểu được thế nào là công dân bình đẳng về quyền và nghĩa vụ, trách nhiệm pháp lí.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E492C" w:rsidRPr="00D140F6" w:rsidTr="00D140F6">
        <w:trPr>
          <w:jc w:val="center"/>
        </w:trPr>
        <w:tc>
          <w:tcPr>
            <w:tcW w:w="709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CE492C" w:rsidRPr="00D140F6" w:rsidRDefault="00CE492C" w:rsidP="00CE4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Quyền bình đẳng của công dân trong một số lĩnh vực đời sống xã hội</w:t>
            </w:r>
          </w:p>
        </w:tc>
        <w:tc>
          <w:tcPr>
            <w:tcW w:w="1837" w:type="dxa"/>
            <w:vAlign w:val="center"/>
          </w:tcPr>
          <w:p w:rsidR="00CE492C" w:rsidRPr="00D140F6" w:rsidRDefault="00CE492C" w:rsidP="00CE492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140F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Bình đẳng trong lao động.</w:t>
            </w:r>
          </w:p>
          <w:p w:rsidR="00CE492C" w:rsidRPr="00D140F6" w:rsidRDefault="00CE492C" w:rsidP="00CE492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140F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Bình đẳng trong kinh doanh.</w:t>
            </w:r>
          </w:p>
          <w:p w:rsidR="00CE492C" w:rsidRPr="009B338A" w:rsidRDefault="00CE492C" w:rsidP="00CE4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Bình đẳng trong hôn nhân và gia đình.</w:t>
            </w:r>
          </w:p>
        </w:tc>
        <w:tc>
          <w:tcPr>
            <w:tcW w:w="7571" w:type="dxa"/>
            <w:vAlign w:val="center"/>
          </w:tcPr>
          <w:p w:rsidR="00CE492C" w:rsidRPr="00D140F6" w:rsidRDefault="00CE492C" w:rsidP="00CE49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Nhận biết được khái niệm, nội dung quyền bình đẳng của công dân trong một số lĩnh vực đời sống  xã hội.</w:t>
            </w:r>
          </w:p>
          <w:p w:rsidR="00CE492C" w:rsidRPr="00D140F6" w:rsidRDefault="00CE492C" w:rsidP="00CE49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Hiểu được khái niệm, nội dung quyền bình đẳng của công dân trong một số lĩnh vực đời sống  xã hội.</w:t>
            </w:r>
          </w:p>
          <w:p w:rsidR="00CE492C" w:rsidRPr="00D140F6" w:rsidRDefault="00CE492C" w:rsidP="00CE49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Biết thực hiện và nhận xét về </w:t>
            </w:r>
            <w:r w:rsidR="00D140F6"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quyền bình đẳng của công dân trong một số lĩnh vực đời sống  xã hội.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E492C" w:rsidRPr="00D140F6" w:rsidTr="00D140F6">
        <w:trPr>
          <w:jc w:val="center"/>
        </w:trPr>
        <w:tc>
          <w:tcPr>
            <w:tcW w:w="709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560" w:type="dxa"/>
            <w:vAlign w:val="center"/>
          </w:tcPr>
          <w:p w:rsidR="00CE492C" w:rsidRPr="00D140F6" w:rsidRDefault="00CE492C" w:rsidP="00CE4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Quyền bình đẳng giữa các dân tộc và tôn giáo</w:t>
            </w:r>
          </w:p>
        </w:tc>
        <w:tc>
          <w:tcPr>
            <w:tcW w:w="1837" w:type="dxa"/>
            <w:vAlign w:val="center"/>
          </w:tcPr>
          <w:p w:rsidR="00CE492C" w:rsidRPr="00D140F6" w:rsidRDefault="00CE492C" w:rsidP="00CE492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140F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Bình đẳng giữa các dân tộc.</w:t>
            </w:r>
          </w:p>
          <w:p w:rsidR="00CE492C" w:rsidRPr="009B338A" w:rsidRDefault="00CE492C" w:rsidP="00CE4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Bình đẳng giữa các tôn giáo.</w:t>
            </w:r>
          </w:p>
        </w:tc>
        <w:tc>
          <w:tcPr>
            <w:tcW w:w="7571" w:type="dxa"/>
            <w:vAlign w:val="center"/>
          </w:tcPr>
          <w:p w:rsidR="00CE492C" w:rsidRPr="00D140F6" w:rsidRDefault="00CE492C" w:rsidP="00CE49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biết: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Nhận biết được khái niệm, nội dung quyền bình đẳng giữa các dân tộc, tôn giáo.</w:t>
            </w:r>
          </w:p>
          <w:p w:rsidR="00CE492C" w:rsidRPr="00D140F6" w:rsidRDefault="00CE492C" w:rsidP="00CE49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Phân biệt được việc làm đúng, sai trong việc thực hiện quyền bình đẳng.</w:t>
            </w:r>
          </w:p>
          <w:p w:rsidR="00CE492C" w:rsidRPr="009B338A" w:rsidRDefault="00CE492C" w:rsidP="00D140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Biết thực hiện và nhận xét về thực hiện </w:t>
            </w:r>
            <w:r w:rsidR="00D140F6"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quyền bình đẳng giữa các dân tộc , tôn giáo.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140F6" w:rsidRPr="00D140F6" w:rsidTr="00D140F6">
        <w:trPr>
          <w:jc w:val="center"/>
        </w:trPr>
        <w:tc>
          <w:tcPr>
            <w:tcW w:w="709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CE492C" w:rsidRPr="00D140F6" w:rsidRDefault="00CE492C" w:rsidP="00CE4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bCs/>
                <w:sz w:val="26"/>
                <w:szCs w:val="26"/>
              </w:rPr>
              <w:t>Công dân với các quyền tự do cơ bản</w:t>
            </w:r>
          </w:p>
        </w:tc>
        <w:tc>
          <w:tcPr>
            <w:tcW w:w="1837" w:type="dxa"/>
            <w:vAlign w:val="center"/>
          </w:tcPr>
          <w:p w:rsidR="00CE492C" w:rsidRPr="00D140F6" w:rsidRDefault="00CE492C" w:rsidP="00CE4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Quyền bất khả xâm phạm về thân thể</w:t>
            </w:r>
          </w:p>
          <w:p w:rsidR="00CE492C" w:rsidRPr="00D140F6" w:rsidRDefault="00CE492C" w:rsidP="00CE4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Quyền được pháp luật bảo hộ về tính mạng, sức khỏe, danh dự và nhân phẩm</w:t>
            </w:r>
          </w:p>
        </w:tc>
        <w:tc>
          <w:tcPr>
            <w:tcW w:w="7571" w:type="dxa"/>
            <w:vAlign w:val="center"/>
          </w:tcPr>
          <w:p w:rsidR="00CE492C" w:rsidRPr="00D140F6" w:rsidRDefault="00CE492C" w:rsidP="00D140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Học sinh nhận biết được khái niệm các quyền tự do cơ bản.</w:t>
            </w:r>
          </w:p>
          <w:p w:rsidR="00CE492C" w:rsidRPr="00D140F6" w:rsidRDefault="00CE492C" w:rsidP="00D140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Học sinh  phân biệt được quyền bất khả xâm phạm về thân thể và quyền được pháp luật bảo hộ về tính mạng, sức khỏe.</w:t>
            </w:r>
          </w:p>
          <w:p w:rsidR="00CE492C" w:rsidRPr="00D140F6" w:rsidRDefault="00CE492C" w:rsidP="00D140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Biết thực hiện và nhận xét về </w:t>
            </w:r>
            <w:r w:rsid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quyền tự do cơ bản (</w:t>
            </w:r>
            <w:r w:rsidR="00D140F6"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quyền </w:t>
            </w:r>
            <w:r w:rsid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bất khả xâm phạm về thân thể và quyền được pháp luật bảo hộ về tính mạng, sức khỏe, danh dự và nhân phẩm).</w:t>
            </w:r>
          </w:p>
          <w:p w:rsidR="00CE492C" w:rsidRPr="00D140F6" w:rsidRDefault="00CE492C" w:rsidP="00D140F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40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cao: </w:t>
            </w:r>
            <w:r w:rsidRP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Tôn trọng quyền </w:t>
            </w:r>
            <w:r w:rsidR="00D140F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bất khả xâm phạm về thân thể, quyền được pháp luật bảo hộ về tính mạng, sức khỏe, danh dự và nhân phẩm.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vAlign w:val="center"/>
          </w:tcPr>
          <w:p w:rsidR="00CE492C" w:rsidRPr="00D140F6" w:rsidRDefault="00CE492C" w:rsidP="00CE4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4"/>
        <w:gridCol w:w="5435"/>
        <w:gridCol w:w="3192"/>
      </w:tblGrid>
      <w:tr w:rsidR="00916A8A" w:rsidRPr="009C136A" w:rsidTr="001D3F5E">
        <w:trPr>
          <w:jc w:val="center"/>
        </w:trPr>
        <w:tc>
          <w:tcPr>
            <w:tcW w:w="3224" w:type="dxa"/>
            <w:shd w:val="clear" w:color="auto" w:fill="auto"/>
          </w:tcPr>
          <w:p w:rsidR="00916A8A" w:rsidRDefault="00916A8A" w:rsidP="001D3F5E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  <w:p w:rsidR="00916A8A" w:rsidRPr="009C136A" w:rsidRDefault="00916A8A" w:rsidP="001D3F5E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  <w:r w:rsidRPr="009C136A"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  <w:t>Duyệt của Ban Giám hiệu</w:t>
            </w:r>
          </w:p>
        </w:tc>
        <w:tc>
          <w:tcPr>
            <w:tcW w:w="5435" w:type="dxa"/>
            <w:shd w:val="clear" w:color="auto" w:fill="auto"/>
          </w:tcPr>
          <w:p w:rsidR="00916A8A" w:rsidRPr="009C136A" w:rsidRDefault="00916A8A" w:rsidP="001D3F5E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</w:tc>
        <w:tc>
          <w:tcPr>
            <w:tcW w:w="3192" w:type="dxa"/>
            <w:shd w:val="clear" w:color="auto" w:fill="auto"/>
          </w:tcPr>
          <w:p w:rsidR="00916A8A" w:rsidRPr="009C136A" w:rsidRDefault="00916A8A" w:rsidP="001D3F5E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</w:tc>
      </w:tr>
      <w:tr w:rsidR="00916A8A" w:rsidRPr="009B338A" w:rsidTr="001D3F5E">
        <w:trPr>
          <w:jc w:val="center"/>
        </w:trPr>
        <w:tc>
          <w:tcPr>
            <w:tcW w:w="3224" w:type="dxa"/>
            <w:shd w:val="clear" w:color="auto" w:fill="auto"/>
          </w:tcPr>
          <w:p w:rsidR="00916A8A" w:rsidRPr="009C136A" w:rsidRDefault="00916A8A" w:rsidP="001D3F5E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  <w:r w:rsidRPr="009C136A">
              <w:rPr>
                <w:rFonts w:ascii="Times New Roman" w:eastAsia="Yu Mincho" w:hAnsi="Times New Roman" w:cs="Times New Roman"/>
                <w:b/>
                <w:szCs w:val="26"/>
                <w:lang w:val="vi-VN"/>
              </w:rPr>
              <w:t>Hiệu phó chuyên môn</w:t>
            </w:r>
          </w:p>
          <w:p w:rsidR="00916A8A" w:rsidRPr="009C136A" w:rsidRDefault="00916A8A" w:rsidP="001D3F5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916A8A" w:rsidRPr="009C136A" w:rsidRDefault="009B338A" w:rsidP="001D3F5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916A8A" w:rsidRPr="009C136A" w:rsidRDefault="00916A8A" w:rsidP="001D3F5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916A8A" w:rsidRPr="009C136A" w:rsidRDefault="00916A8A" w:rsidP="001D3F5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C136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5435" w:type="dxa"/>
            <w:shd w:val="clear" w:color="auto" w:fill="auto"/>
          </w:tcPr>
          <w:p w:rsidR="00916A8A" w:rsidRPr="009C136A" w:rsidRDefault="00916A8A" w:rsidP="001D3F5E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</w:tc>
        <w:tc>
          <w:tcPr>
            <w:tcW w:w="3192" w:type="dxa"/>
            <w:shd w:val="clear" w:color="auto" w:fill="auto"/>
          </w:tcPr>
          <w:p w:rsidR="00916A8A" w:rsidRPr="009C136A" w:rsidRDefault="00916A8A" w:rsidP="001D3F5E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  <w:r w:rsidRPr="009B338A"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  <w:t>Nhóm trưởng</w:t>
            </w:r>
            <w:r w:rsidRPr="009C136A"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  <w:t xml:space="preserve"> chuyên môn</w:t>
            </w:r>
          </w:p>
          <w:p w:rsidR="00916A8A" w:rsidRDefault="00916A8A" w:rsidP="001D3F5E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  <w:p w:rsidR="00916A8A" w:rsidRDefault="009B338A" w:rsidP="001D3F5E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  <w:r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916A8A" w:rsidRPr="009C136A" w:rsidRDefault="00916A8A" w:rsidP="001D3F5E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  <w:p w:rsidR="00916A8A" w:rsidRPr="009C136A" w:rsidRDefault="00916A8A" w:rsidP="001D3F5E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  <w:p w:rsidR="00916A8A" w:rsidRPr="009C136A" w:rsidRDefault="00916A8A" w:rsidP="001D3F5E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  <w:r w:rsidRPr="009C136A"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  <w:t>Nguyễn Thùy Dương</w:t>
            </w:r>
          </w:p>
        </w:tc>
      </w:tr>
    </w:tbl>
    <w:p w:rsidR="00916A8A" w:rsidRPr="00B277C1" w:rsidRDefault="00916A8A" w:rsidP="00916A8A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Nơi nhận:</w:t>
      </w:r>
    </w:p>
    <w:p w:rsidR="00916A8A" w:rsidRPr="00B277C1" w:rsidRDefault="00916A8A" w:rsidP="00916A8A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BGH;</w:t>
      </w:r>
    </w:p>
    <w:p w:rsidR="00916A8A" w:rsidRPr="00B277C1" w:rsidRDefault="00916A8A" w:rsidP="00916A8A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GV trong tổ;</w:t>
      </w:r>
    </w:p>
    <w:p w:rsidR="00916A8A" w:rsidRDefault="00916A8A" w:rsidP="00916A8A">
      <w:pPr>
        <w:pStyle w:val="ListParagraph"/>
        <w:spacing w:after="0" w:line="276" w:lineRule="auto"/>
        <w:ind w:left="360" w:firstLine="630"/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p w:rsidR="00FE6D66" w:rsidRDefault="00FE6D66" w:rsidP="00FE6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sectPr w:rsidR="00FE6D66" w:rsidSect="00FE6D66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539"/>
    <w:multiLevelType w:val="hybridMultilevel"/>
    <w:tmpl w:val="7F58D2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E60F6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182FD78">
      <w:start w:val="1"/>
      <w:numFmt w:val="bullet"/>
      <w:lvlText w:val="-"/>
      <w:lvlJc w:val="left"/>
      <w:pPr>
        <w:ind w:left="2340" w:hanging="360"/>
      </w:pPr>
      <w:rPr>
        <w:rFonts w:ascii="Times New Roman" w:eastAsia="Yu Minch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66"/>
    <w:rsid w:val="00014BEE"/>
    <w:rsid w:val="000D28AD"/>
    <w:rsid w:val="000E7042"/>
    <w:rsid w:val="001537AA"/>
    <w:rsid w:val="0019543F"/>
    <w:rsid w:val="00223005"/>
    <w:rsid w:val="0025421F"/>
    <w:rsid w:val="002A3011"/>
    <w:rsid w:val="00331AE4"/>
    <w:rsid w:val="00354005"/>
    <w:rsid w:val="004716E1"/>
    <w:rsid w:val="00481635"/>
    <w:rsid w:val="006F1A36"/>
    <w:rsid w:val="0072587A"/>
    <w:rsid w:val="007C2A7A"/>
    <w:rsid w:val="008447E6"/>
    <w:rsid w:val="008A640A"/>
    <w:rsid w:val="00916A8A"/>
    <w:rsid w:val="009B338A"/>
    <w:rsid w:val="009D20FB"/>
    <w:rsid w:val="00A03867"/>
    <w:rsid w:val="00A14B18"/>
    <w:rsid w:val="00A23587"/>
    <w:rsid w:val="00A422F8"/>
    <w:rsid w:val="00B60343"/>
    <w:rsid w:val="00B65B02"/>
    <w:rsid w:val="00BD7F08"/>
    <w:rsid w:val="00C73EA1"/>
    <w:rsid w:val="00C91016"/>
    <w:rsid w:val="00CC53ED"/>
    <w:rsid w:val="00CC6681"/>
    <w:rsid w:val="00CE492C"/>
    <w:rsid w:val="00D140F6"/>
    <w:rsid w:val="00D70A4B"/>
    <w:rsid w:val="00E56DD4"/>
    <w:rsid w:val="00F13E3E"/>
    <w:rsid w:val="00F83FD0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16E1"/>
    <w:pPr>
      <w:ind w:left="720"/>
      <w:contextualSpacing/>
    </w:pPr>
    <w:rPr>
      <w:rFonts w:ascii="Calibri" w:eastAsia="Yu Mincho" w:hAnsi="Calibri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16E1"/>
    <w:pPr>
      <w:ind w:left="720"/>
      <w:contextualSpacing/>
    </w:pPr>
    <w:rPr>
      <w:rFonts w:ascii="Calibri" w:eastAsia="Yu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cp:lastPrinted>2022-11-28T03:22:00Z</cp:lastPrinted>
  <dcterms:created xsi:type="dcterms:W3CDTF">2022-11-23T17:18:00Z</dcterms:created>
  <dcterms:modified xsi:type="dcterms:W3CDTF">2022-12-02T08:12:00Z</dcterms:modified>
</cp:coreProperties>
</file>